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56AE" w14:textId="77777777" w:rsidR="00544459" w:rsidRPr="00544459" w:rsidRDefault="00544459" w:rsidP="0054445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544459">
        <w:rPr>
          <w:rFonts w:ascii="Lato" w:eastAsia="Times New Roman" w:hAnsi="Lato" w:cs="Times New Roman"/>
          <w:color w:val="CC3300"/>
          <w:kern w:val="36"/>
          <w:sz w:val="36"/>
          <w:szCs w:val="36"/>
          <w:lang w:eastAsia="fr-BE"/>
          <w14:ligatures w14:val="none"/>
        </w:rPr>
        <w:t>Billet vert en berne, le cuivre évolue dans le vert</w:t>
      </w:r>
    </w:p>
    <w:p w14:paraId="4B39756F" w14:textId="77777777" w:rsidR="00544459" w:rsidRDefault="00544459" w:rsidP="00544459">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3BB405D0" w14:textId="67AF4D68" w:rsidR="00544459" w:rsidRPr="00544459" w:rsidRDefault="00544459" w:rsidP="00544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4459">
        <w:rPr>
          <w:rFonts w:ascii="Lato" w:eastAsia="Times New Roman" w:hAnsi="Lato" w:cs="Times New Roman"/>
          <w:color w:val="000000"/>
          <w:kern w:val="0"/>
          <w:sz w:val="23"/>
          <w:szCs w:val="23"/>
          <w:lang w:eastAsia="fr-BE"/>
          <w14:ligatures w14:val="none"/>
        </w:rPr>
        <w:t>Les cours du </w:t>
      </w:r>
      <w:r w:rsidRPr="00544459">
        <w:rPr>
          <w:rFonts w:ascii="Lato" w:eastAsia="Times New Roman" w:hAnsi="Lato" w:cs="Times New Roman"/>
          <w:color w:val="000000"/>
          <w:kern w:val="0"/>
          <w:sz w:val="23"/>
          <w:szCs w:val="23"/>
          <w:u w:val="single"/>
          <w:lang w:eastAsia="fr-BE"/>
          <w14:ligatures w14:val="none"/>
        </w:rPr>
        <w:t>cuivre</w:t>
      </w:r>
      <w:r w:rsidRPr="00544459">
        <w:rPr>
          <w:rFonts w:ascii="Lato" w:eastAsia="Times New Roman" w:hAnsi="Lato" w:cs="Times New Roman"/>
          <w:color w:val="000000"/>
          <w:kern w:val="0"/>
          <w:sz w:val="23"/>
          <w:szCs w:val="23"/>
          <w:lang w:eastAsia="fr-BE"/>
          <w14:ligatures w14:val="none"/>
        </w:rPr>
        <w:t> sont à la hausse, bénéficiant d’un dollar affaibli alors que les réunions de plusieurs banques centrales approchent. Le niveau record du marché boursier américain favorise une ambiance positive.</w:t>
      </w:r>
    </w:p>
    <w:p w14:paraId="044FDCC6" w14:textId="77777777" w:rsidR="00544459" w:rsidRPr="00544459" w:rsidRDefault="00544459" w:rsidP="00544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4459">
        <w:rPr>
          <w:rFonts w:ascii="Lato" w:eastAsia="Times New Roman" w:hAnsi="Lato" w:cs="Times New Roman"/>
          <w:color w:val="000000"/>
          <w:kern w:val="0"/>
          <w:sz w:val="23"/>
          <w:szCs w:val="23"/>
          <w:lang w:eastAsia="fr-BE"/>
          <w14:ligatures w14:val="none"/>
        </w:rPr>
        <w:t>Sur le LME, le </w:t>
      </w:r>
      <w:r w:rsidRPr="00544459">
        <w:rPr>
          <w:rFonts w:ascii="Lato" w:eastAsia="Times New Roman" w:hAnsi="Lato" w:cs="Times New Roman"/>
          <w:color w:val="000000"/>
          <w:kern w:val="0"/>
          <w:sz w:val="23"/>
          <w:szCs w:val="23"/>
          <w:u w:val="single"/>
          <w:lang w:eastAsia="fr-BE"/>
          <w14:ligatures w14:val="none"/>
        </w:rPr>
        <w:t>cuivre</w:t>
      </w:r>
      <w:r w:rsidRPr="00544459">
        <w:rPr>
          <w:rFonts w:ascii="Lato" w:eastAsia="Times New Roman" w:hAnsi="Lato" w:cs="Times New Roman"/>
          <w:color w:val="000000"/>
          <w:kern w:val="0"/>
          <w:sz w:val="23"/>
          <w:szCs w:val="23"/>
          <w:lang w:eastAsia="fr-BE"/>
          <w14:ligatures w14:val="none"/>
        </w:rPr>
        <w:t> pour livraison à trois mois gagne 0,2 % à 8.368 $/t tandis que le contrat le plus échangé (échéance mars) sur le ShFE grimpe de 0,7 % à 68.100 yuan/t (9,464.25 $).</w:t>
      </w:r>
    </w:p>
    <w:p w14:paraId="06D5541A" w14:textId="77777777" w:rsidR="00544459" w:rsidRPr="00544459" w:rsidRDefault="00544459" w:rsidP="00544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4459">
        <w:rPr>
          <w:rFonts w:ascii="Lato" w:eastAsia="Times New Roman" w:hAnsi="Lato" w:cs="Times New Roman"/>
          <w:color w:val="000000"/>
          <w:kern w:val="0"/>
          <w:sz w:val="23"/>
          <w:szCs w:val="23"/>
          <w:lang w:eastAsia="fr-BE"/>
          <w14:ligatures w14:val="none"/>
        </w:rPr>
        <w:t>Difficile pour le dollar de conserver ses gains aux heures d’échanges asiatiques, alors que des décisions issues de plusieurs banques centrales, en Europe et au Japon, sont attendues sous peu. Le niveau record des actions américaines renforce le goût du risque sur les marchés financiers, métaux compris. Vendredi, les actions américaines dans le secteur de la tech ont permis au S&amp;P 500 de clôturer à un niveau record. Selon un courtier, cette hausse serait toutefois temporaire, notamment en ce qui concerne les métaux. « </w:t>
      </w:r>
      <w:r w:rsidRPr="00544459">
        <w:rPr>
          <w:rFonts w:ascii="Lato" w:eastAsia="Times New Roman" w:hAnsi="Lato" w:cs="Times New Roman"/>
          <w:i/>
          <w:iCs/>
          <w:color w:val="000000"/>
          <w:kern w:val="0"/>
          <w:sz w:val="23"/>
          <w:szCs w:val="23"/>
          <w:lang w:eastAsia="fr-BE"/>
          <w14:ligatures w14:val="none"/>
        </w:rPr>
        <w:t>Les prix devraient être plus bas actuellement. Nous allons voir des prises de bénéfices aux Etats-Unis mais l’économie chinoise patauge toujours, sans mesures de relance </w:t>
      </w:r>
      <w:r w:rsidRPr="00544459">
        <w:rPr>
          <w:rFonts w:ascii="Lato" w:eastAsia="Times New Roman" w:hAnsi="Lato" w:cs="Times New Roman"/>
          <w:color w:val="000000"/>
          <w:kern w:val="0"/>
          <w:sz w:val="23"/>
          <w:szCs w:val="23"/>
          <w:lang w:eastAsia="fr-BE"/>
          <w14:ligatures w14:val="none"/>
        </w:rPr>
        <w:t>», estime-t-il.</w:t>
      </w:r>
    </w:p>
    <w:p w14:paraId="41081774" w14:textId="77777777" w:rsidR="00544459" w:rsidRPr="00544459" w:rsidRDefault="00544459" w:rsidP="0054445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544459">
        <w:rPr>
          <w:rFonts w:ascii="Lato" w:eastAsia="Times New Roman" w:hAnsi="Lato" w:cs="Times New Roman"/>
          <w:color w:val="000000"/>
          <w:kern w:val="0"/>
          <w:sz w:val="23"/>
          <w:szCs w:val="23"/>
          <w:lang w:eastAsia="fr-BE"/>
          <w14:ligatures w14:val="none"/>
        </w:rPr>
        <w:t>En décembre, la Chine a importé 10.104 tonnes de concentré de cuivre et de minerai de cuivre depuis l’Australie. L’interdiction officieuse portant sur les importations australiennes semble avoir été levée : le volume total importé en 2023 dépasse celui de 2021.</w:t>
      </w:r>
    </w:p>
    <w:p w14:paraId="6831ADCC"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59"/>
    <w:rsid w:val="00287462"/>
    <w:rsid w:val="005444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D68C"/>
  <w15:chartTrackingRefBased/>
  <w15:docId w15:val="{C7AFB5F8-38D4-4656-ABBE-47D46CD7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1208</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2024-01-22T07:35:00Z</dcterms:created>
  <dcterms:modified xsi:type="dcterms:W3CDTF">2024-01-22T07:36:00Z</dcterms:modified>
</cp:coreProperties>
</file>